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90" w:rsidRDefault="00590190" w:rsidP="00590190">
      <w:pPr>
        <w:rPr>
          <w:rFonts w:ascii="Corbel" w:hAnsi="Corbel"/>
          <w:b/>
        </w:rPr>
      </w:pPr>
      <w:r>
        <w:rPr>
          <w:rFonts w:ascii="Corbel" w:hAnsi="Corbel"/>
          <w:b/>
        </w:rPr>
        <w:t>INTERPRETATION OF PRIMARY RELIGIOUS EDUCATION EXPECTATIONS</w:t>
      </w:r>
    </w:p>
    <w:p w:rsidR="00590190" w:rsidRDefault="00590190" w:rsidP="00590190">
      <w:pPr>
        <w:rPr>
          <w:rFonts w:ascii="Corbel" w:hAnsi="Corbel"/>
          <w:b/>
        </w:rPr>
      </w:pPr>
      <w:r>
        <w:rPr>
          <w:rFonts w:ascii="Corbel" w:hAnsi="Corbel"/>
          <w:b/>
        </w:rPr>
        <w:t>SUMMER SECOND</w:t>
      </w:r>
      <w:r>
        <w:rPr>
          <w:rFonts w:ascii="Corbel" w:hAnsi="Corbel"/>
          <w:b/>
        </w:rPr>
        <w:t xml:space="preserve"> HALF TERM</w:t>
      </w:r>
    </w:p>
    <w:p w:rsidR="00590190" w:rsidRDefault="00590190" w:rsidP="00590190">
      <w:pPr>
        <w:rPr>
          <w:rFonts w:ascii="Corbel" w:hAnsi="Corbel"/>
          <w:b/>
        </w:rPr>
      </w:pPr>
      <w:r>
        <w:rPr>
          <w:rFonts w:ascii="Corbel" w:hAnsi="Corbel"/>
          <w:b/>
        </w:rPr>
        <w:t>YEAR 1</w:t>
      </w:r>
    </w:p>
    <w:tbl>
      <w:tblPr>
        <w:tblStyle w:val="TableGrid"/>
        <w:tblW w:w="0" w:type="dxa"/>
        <w:tblInd w:w="0" w:type="dxa"/>
        <w:tblLayout w:type="fixed"/>
        <w:tblLook w:val="04A0" w:firstRow="1" w:lastRow="0" w:firstColumn="1" w:lastColumn="0" w:noHBand="0" w:noVBand="1"/>
      </w:tblPr>
      <w:tblGrid>
        <w:gridCol w:w="1413"/>
        <w:gridCol w:w="3303"/>
        <w:gridCol w:w="9313"/>
      </w:tblGrid>
      <w:tr w:rsidR="00590190" w:rsidTr="00590190">
        <w:tc>
          <w:tcPr>
            <w:tcW w:w="1413" w:type="dxa"/>
            <w:tcBorders>
              <w:top w:val="single" w:sz="4" w:space="0" w:color="auto"/>
              <w:left w:val="single" w:sz="4" w:space="0" w:color="auto"/>
              <w:bottom w:val="single" w:sz="4" w:space="0" w:color="auto"/>
              <w:right w:val="single" w:sz="4" w:space="0" w:color="auto"/>
            </w:tcBorders>
            <w:hideMark/>
          </w:tcPr>
          <w:p w:rsidR="00590190" w:rsidRDefault="00590190">
            <w:pPr>
              <w:spacing w:line="240" w:lineRule="auto"/>
              <w:jc w:val="center"/>
              <w:rPr>
                <w:rFonts w:ascii="Corbel" w:hAnsi="Corbel"/>
              </w:rPr>
            </w:pPr>
            <w:r>
              <w:rPr>
                <w:rFonts w:ascii="Corbel" w:hAnsi="Corbel"/>
              </w:rPr>
              <w:t>UNIT</w:t>
            </w:r>
          </w:p>
        </w:tc>
        <w:tc>
          <w:tcPr>
            <w:tcW w:w="3303" w:type="dxa"/>
            <w:tcBorders>
              <w:top w:val="single" w:sz="4" w:space="0" w:color="auto"/>
              <w:left w:val="single" w:sz="4" w:space="0" w:color="auto"/>
              <w:bottom w:val="single" w:sz="4" w:space="0" w:color="auto"/>
              <w:right w:val="single" w:sz="4" w:space="0" w:color="auto"/>
            </w:tcBorders>
            <w:hideMark/>
          </w:tcPr>
          <w:p w:rsidR="00590190" w:rsidRDefault="00590190">
            <w:pPr>
              <w:spacing w:line="240" w:lineRule="auto"/>
              <w:jc w:val="center"/>
              <w:rPr>
                <w:rFonts w:ascii="Corbel" w:hAnsi="Corbel"/>
              </w:rPr>
            </w:pPr>
            <w:r>
              <w:rPr>
                <w:rFonts w:ascii="Corbel" w:hAnsi="Corbel"/>
              </w:rPr>
              <w:t>EXPECTATION</w:t>
            </w:r>
          </w:p>
        </w:tc>
        <w:tc>
          <w:tcPr>
            <w:tcW w:w="9313" w:type="dxa"/>
            <w:tcBorders>
              <w:top w:val="single" w:sz="4" w:space="0" w:color="auto"/>
              <w:left w:val="single" w:sz="4" w:space="0" w:color="auto"/>
              <w:bottom w:val="single" w:sz="4" w:space="0" w:color="auto"/>
              <w:right w:val="single" w:sz="4" w:space="0" w:color="auto"/>
            </w:tcBorders>
            <w:hideMark/>
          </w:tcPr>
          <w:p w:rsidR="00590190" w:rsidRDefault="00590190">
            <w:pPr>
              <w:spacing w:line="240" w:lineRule="auto"/>
              <w:jc w:val="center"/>
              <w:rPr>
                <w:rFonts w:ascii="Corbel" w:hAnsi="Corbel"/>
              </w:rPr>
            </w:pPr>
            <w:r>
              <w:rPr>
                <w:rFonts w:ascii="Corbel" w:hAnsi="Corbel"/>
              </w:rPr>
              <w:t>OUR UNDERSTANDING</w:t>
            </w:r>
          </w:p>
        </w:tc>
      </w:tr>
      <w:tr w:rsidR="00590190" w:rsidTr="00590190">
        <w:tc>
          <w:tcPr>
            <w:tcW w:w="1413" w:type="dxa"/>
            <w:tcBorders>
              <w:top w:val="single" w:sz="4" w:space="0" w:color="auto"/>
              <w:left w:val="single" w:sz="4" w:space="0" w:color="auto"/>
              <w:bottom w:val="single" w:sz="4" w:space="0" w:color="auto"/>
              <w:right w:val="single" w:sz="4" w:space="0" w:color="auto"/>
            </w:tcBorders>
          </w:tcPr>
          <w:p w:rsidR="00590190" w:rsidRDefault="00590190" w:rsidP="00590190">
            <w:pPr>
              <w:spacing w:line="240" w:lineRule="auto"/>
              <w:rPr>
                <w:rFonts w:ascii="Corbel" w:hAnsi="Corbel"/>
              </w:rPr>
            </w:pPr>
            <w:r>
              <w:rPr>
                <w:rFonts w:ascii="Corbel" w:hAnsi="Corbel"/>
              </w:rPr>
              <w:t>1.6 Miracles</w:t>
            </w:r>
          </w:p>
        </w:tc>
        <w:tc>
          <w:tcPr>
            <w:tcW w:w="3303" w:type="dxa"/>
            <w:tcBorders>
              <w:top w:val="single" w:sz="4" w:space="0" w:color="auto"/>
              <w:left w:val="single" w:sz="4" w:space="0" w:color="auto"/>
              <w:bottom w:val="single" w:sz="4" w:space="0" w:color="auto"/>
              <w:right w:val="single" w:sz="4" w:space="0" w:color="auto"/>
            </w:tcBorders>
          </w:tcPr>
          <w:p w:rsidR="00590190" w:rsidRPr="00590190" w:rsidRDefault="00590190" w:rsidP="00590190">
            <w:pPr>
              <w:tabs>
                <w:tab w:val="left" w:pos="3510"/>
              </w:tabs>
              <w:rPr>
                <w:rFonts w:ascii="Corbel" w:hAnsi="Corbel" w:cs="Segoe UI"/>
                <w:b/>
                <w:szCs w:val="24"/>
              </w:rPr>
            </w:pPr>
            <w:r w:rsidRPr="00590190">
              <w:rPr>
                <w:rFonts w:ascii="Corbel" w:hAnsi="Corbel" w:cs="Segoe UI"/>
                <w:b/>
                <w:szCs w:val="24"/>
              </w:rPr>
              <w:t>Recognise some miracle stories from the gospels</w:t>
            </w:r>
          </w:p>
          <w:p w:rsidR="00590190" w:rsidRDefault="00590190" w:rsidP="00590190">
            <w:pPr>
              <w:spacing w:line="240" w:lineRule="auto"/>
              <w:rPr>
                <w:rFonts w:ascii="Corbel" w:hAnsi="Corbel"/>
              </w:rPr>
            </w:pPr>
          </w:p>
        </w:tc>
        <w:tc>
          <w:tcPr>
            <w:tcW w:w="9313" w:type="dxa"/>
            <w:tcBorders>
              <w:top w:val="single" w:sz="4" w:space="0" w:color="auto"/>
              <w:left w:val="single" w:sz="4" w:space="0" w:color="auto"/>
              <w:bottom w:val="single" w:sz="4" w:space="0" w:color="auto"/>
              <w:right w:val="single" w:sz="4" w:space="0" w:color="auto"/>
            </w:tcBorders>
          </w:tcPr>
          <w:p w:rsidR="00590190" w:rsidRDefault="00590190" w:rsidP="00590190">
            <w:pPr>
              <w:rPr>
                <w:rFonts w:ascii="Corbel" w:hAnsi="Corbel" w:cs="Segoe UI"/>
                <w:szCs w:val="24"/>
              </w:rPr>
            </w:pPr>
            <w:r w:rsidRPr="009B7FB9">
              <w:rPr>
                <w:rFonts w:ascii="Corbel" w:hAnsi="Corbel" w:cs="Segoe UI"/>
                <w:szCs w:val="24"/>
              </w:rPr>
              <w:t>Recognition of stories can be visual – from being shown a picture – but is principally from hearing stories read and working with a story. In order to</w:t>
            </w:r>
            <w:r>
              <w:rPr>
                <w:rFonts w:ascii="Corbel" w:hAnsi="Corbel" w:cs="Segoe UI"/>
                <w:szCs w:val="24"/>
              </w:rPr>
              <w:t xml:space="preserve"> recognise the stories</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 story, but should be able to go beyond knowing the story title 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character did in the story etc.</w:t>
            </w:r>
          </w:p>
          <w:p w:rsidR="00590190" w:rsidRDefault="00590190" w:rsidP="00590190">
            <w:pPr>
              <w:rPr>
                <w:rFonts w:ascii="Corbel" w:hAnsi="Corbel" w:cs="Segoe UI"/>
                <w:szCs w:val="24"/>
              </w:rPr>
            </w:pPr>
          </w:p>
          <w:p w:rsidR="00590190" w:rsidRDefault="00590190" w:rsidP="00590190">
            <w:pPr>
              <w:rPr>
                <w:rFonts w:ascii="Corbel" w:hAnsi="Corbel" w:cs="Segoe UI"/>
                <w:szCs w:val="24"/>
              </w:rPr>
            </w:pPr>
            <w:r>
              <w:rPr>
                <w:noProof/>
                <w:lang w:eastAsia="en-GB"/>
              </w:rPr>
              <w:drawing>
                <wp:inline distT="0" distB="0" distL="0" distR="0">
                  <wp:extent cx="1571625" cy="2354712"/>
                  <wp:effectExtent l="0" t="0" r="0" b="7620"/>
                  <wp:docPr id="1" name="Picture 1" descr="Calming the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ming the Stor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6127" cy="2376440"/>
                          </a:xfrm>
                          <a:prstGeom prst="rect">
                            <a:avLst/>
                          </a:prstGeom>
                          <a:noFill/>
                          <a:ln>
                            <a:noFill/>
                          </a:ln>
                        </pic:spPr>
                      </pic:pic>
                    </a:graphicData>
                  </a:graphic>
                </wp:inline>
              </w:drawing>
            </w:r>
            <w:r w:rsidR="00447C5B">
              <w:rPr>
                <w:rFonts w:ascii="Corbel" w:hAnsi="Corbel" w:cs="Segoe UI"/>
                <w:szCs w:val="24"/>
              </w:rPr>
              <w:t xml:space="preserve">                             </w:t>
            </w:r>
            <w:r w:rsidR="00447C5B">
              <w:rPr>
                <w:noProof/>
                <w:lang w:eastAsia="en-GB"/>
              </w:rPr>
              <w:drawing>
                <wp:inline distT="0" distB="0" distL="0" distR="0">
                  <wp:extent cx="2837692" cy="1986764"/>
                  <wp:effectExtent l="0" t="0" r="1270" b="0"/>
                  <wp:docPr id="2" name="Picture 2" descr="Calming of the Storm - Bernard Alle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ming of the Storm - Bernard Allen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150" cy="1999687"/>
                          </a:xfrm>
                          <a:prstGeom prst="rect">
                            <a:avLst/>
                          </a:prstGeom>
                          <a:noFill/>
                          <a:ln>
                            <a:noFill/>
                          </a:ln>
                        </pic:spPr>
                      </pic:pic>
                    </a:graphicData>
                  </a:graphic>
                </wp:inline>
              </w:drawing>
            </w:r>
          </w:p>
          <w:p w:rsidR="00590190" w:rsidRPr="00590190" w:rsidRDefault="00590190" w:rsidP="00590190">
            <w:pPr>
              <w:spacing w:before="100" w:beforeAutospacing="1" w:after="100" w:afterAutospacing="1" w:line="240" w:lineRule="auto"/>
              <w:outlineLvl w:val="1"/>
              <w:rPr>
                <w:rFonts w:ascii="Corbel" w:eastAsia="Times New Roman" w:hAnsi="Corbel" w:cs="Times New Roman"/>
                <w:bCs/>
                <w:szCs w:val="36"/>
                <w:lang w:eastAsia="en-GB"/>
              </w:rPr>
            </w:pPr>
            <w:r>
              <w:rPr>
                <w:rFonts w:ascii="Corbel" w:eastAsia="Times New Roman" w:hAnsi="Corbel" w:cs="Times New Roman"/>
                <w:bCs/>
                <w:szCs w:val="36"/>
                <w:lang w:eastAsia="en-GB"/>
              </w:rPr>
              <w:t xml:space="preserve">Calming the Storm, </w:t>
            </w:r>
            <w:r w:rsidRPr="00590190">
              <w:rPr>
                <w:rFonts w:ascii="Corbel" w:eastAsia="Times New Roman" w:hAnsi="Corbel" w:cs="Times New Roman"/>
                <w:bCs/>
                <w:szCs w:val="36"/>
                <w:lang w:eastAsia="en-GB"/>
              </w:rPr>
              <w:t>James B. Janknegt</w:t>
            </w:r>
            <w:r w:rsidR="00447C5B">
              <w:rPr>
                <w:rFonts w:ascii="Corbel" w:eastAsia="Times New Roman" w:hAnsi="Corbel" w:cs="Times New Roman"/>
                <w:bCs/>
                <w:szCs w:val="36"/>
                <w:lang w:eastAsia="en-GB"/>
              </w:rPr>
              <w:t xml:space="preserve">       Calming of the Storm, Bernard Allen</w:t>
            </w:r>
          </w:p>
          <w:p w:rsidR="00590190" w:rsidRDefault="00590190" w:rsidP="00590190">
            <w:pPr>
              <w:spacing w:line="240" w:lineRule="auto"/>
              <w:rPr>
                <w:rFonts w:ascii="Corbel" w:hAnsi="Corbel"/>
              </w:rPr>
            </w:pPr>
          </w:p>
        </w:tc>
      </w:tr>
      <w:tr w:rsidR="00590190" w:rsidTr="00590190">
        <w:tc>
          <w:tcPr>
            <w:tcW w:w="1413" w:type="dxa"/>
            <w:tcBorders>
              <w:top w:val="single" w:sz="4" w:space="0" w:color="auto"/>
              <w:left w:val="single" w:sz="4" w:space="0" w:color="auto"/>
              <w:bottom w:val="single" w:sz="4" w:space="0" w:color="auto"/>
              <w:right w:val="single" w:sz="4" w:space="0" w:color="auto"/>
            </w:tcBorders>
          </w:tcPr>
          <w:p w:rsidR="00590190" w:rsidRDefault="00590190" w:rsidP="00590190">
            <w:pPr>
              <w:spacing w:line="240" w:lineRule="auto"/>
              <w:rPr>
                <w:rFonts w:ascii="Corbel" w:hAnsi="Corbel"/>
              </w:rPr>
            </w:pPr>
          </w:p>
        </w:tc>
        <w:tc>
          <w:tcPr>
            <w:tcW w:w="3303" w:type="dxa"/>
            <w:tcBorders>
              <w:top w:val="single" w:sz="4" w:space="0" w:color="auto"/>
              <w:left w:val="single" w:sz="4" w:space="0" w:color="auto"/>
              <w:bottom w:val="single" w:sz="4" w:space="0" w:color="auto"/>
              <w:right w:val="single" w:sz="4" w:space="0" w:color="auto"/>
            </w:tcBorders>
          </w:tcPr>
          <w:p w:rsidR="00590190" w:rsidRPr="00590190" w:rsidRDefault="00590190" w:rsidP="00590190">
            <w:pPr>
              <w:tabs>
                <w:tab w:val="left" w:pos="3510"/>
              </w:tabs>
              <w:rPr>
                <w:rFonts w:ascii="Corbel" w:hAnsi="Corbel" w:cs="Segoe UI"/>
                <w:b/>
                <w:szCs w:val="24"/>
              </w:rPr>
            </w:pPr>
            <w:r w:rsidRPr="00590190">
              <w:rPr>
                <w:rFonts w:ascii="Corbel" w:hAnsi="Corbel" w:cs="Segoe UI"/>
                <w:b/>
                <w:szCs w:val="24"/>
              </w:rPr>
              <w:t>Talk, ask questions and wonder about their own feelings and the feelings of characters in the miracle stories</w:t>
            </w:r>
          </w:p>
        </w:tc>
        <w:tc>
          <w:tcPr>
            <w:tcW w:w="9313" w:type="dxa"/>
            <w:tcBorders>
              <w:top w:val="single" w:sz="4" w:space="0" w:color="auto"/>
              <w:left w:val="single" w:sz="4" w:space="0" w:color="auto"/>
              <w:bottom w:val="single" w:sz="4" w:space="0" w:color="auto"/>
              <w:right w:val="single" w:sz="4" w:space="0" w:color="auto"/>
            </w:tcBorders>
          </w:tcPr>
          <w:p w:rsidR="00590190" w:rsidRDefault="00447C5B" w:rsidP="00590190">
            <w:pPr>
              <w:rPr>
                <w:rFonts w:ascii="Corbel" w:hAnsi="Corbel" w:cs="Segoe UI"/>
                <w:szCs w:val="24"/>
              </w:rPr>
            </w:pPr>
            <w:r>
              <w:rPr>
                <w:rFonts w:ascii="Corbel" w:hAnsi="Corbel" w:cs="Segoe UI"/>
                <w:szCs w:val="24"/>
              </w:rPr>
              <w:t xml:space="preserve">There are a number of miracle stories within the unit and all provide opportunities for pupils to consider the feelings of characters in the stories as well as their own feelings, particularly in the sections entitled ‘Questions to ask about the story’. </w:t>
            </w:r>
          </w:p>
          <w:p w:rsidR="00CB2F73" w:rsidRDefault="00CB2F73" w:rsidP="00590190">
            <w:pPr>
              <w:rPr>
                <w:rFonts w:ascii="Corbel" w:hAnsi="Corbel" w:cs="Segoe UI"/>
                <w:szCs w:val="24"/>
              </w:rPr>
            </w:pPr>
          </w:p>
          <w:p w:rsidR="00CB2F73" w:rsidRDefault="00CB2F73" w:rsidP="00590190">
            <w:pPr>
              <w:rPr>
                <w:rFonts w:ascii="Corbel" w:hAnsi="Corbel" w:cs="Segoe UI"/>
                <w:szCs w:val="24"/>
              </w:rPr>
            </w:pPr>
            <w:r>
              <w:rPr>
                <w:rFonts w:ascii="Corbel" w:hAnsi="Corbel" w:cs="Segoe UI"/>
                <w:szCs w:val="24"/>
              </w:rPr>
              <w:lastRenderedPageBreak/>
              <w:t>After talking about the stories, pupils can be encouraged to record a feeling of a character or their own feelings about a story in words and pictures.</w:t>
            </w:r>
          </w:p>
          <w:p w:rsidR="00447C5B" w:rsidRDefault="00447C5B" w:rsidP="00590190">
            <w:pPr>
              <w:rPr>
                <w:rFonts w:ascii="Corbel" w:hAnsi="Corbel" w:cs="Segoe UI"/>
                <w:szCs w:val="24"/>
              </w:rPr>
            </w:pPr>
          </w:p>
          <w:p w:rsidR="00447C5B" w:rsidRDefault="00447C5B" w:rsidP="00590190">
            <w:pPr>
              <w:rPr>
                <w:rFonts w:ascii="Corbel" w:hAnsi="Corbel" w:cs="Segoe UI"/>
                <w:szCs w:val="24"/>
              </w:rPr>
            </w:pPr>
            <w:r>
              <w:rPr>
                <w:rFonts w:ascii="Corbel" w:hAnsi="Corbel" w:cs="Segoe UI"/>
                <w:szCs w:val="24"/>
              </w:rPr>
              <w:t xml:space="preserve">There are numerous images of the Cure of the Paralysed Man at </w:t>
            </w:r>
            <w:hyperlink r:id="rId6" w:history="1">
              <w:r w:rsidRPr="004E57BD">
                <w:rPr>
                  <w:rStyle w:val="Hyperlink"/>
                  <w:rFonts w:ascii="Corbel" w:hAnsi="Corbel" w:cs="Segoe UI"/>
                  <w:szCs w:val="24"/>
                </w:rPr>
                <w:t>https://www.google.com/search?q=cure+of+the+paralytic&amp;rlz=1C1GCEU_enGB866GB866&amp;source=lnms&amp;tbm=isch&amp;sa=X&amp;ved=2ahUKEwjWmrDJoIXxAhWWgVwKHdwYBYwQ_AUoAXoECAEQAw&amp;biw=1303&amp;bih=665#imgrc=_0TaAb2flA0N1M</w:t>
              </w:r>
            </w:hyperlink>
          </w:p>
          <w:p w:rsidR="00447C5B" w:rsidRDefault="00447C5B" w:rsidP="00590190">
            <w:pPr>
              <w:rPr>
                <w:rFonts w:ascii="Corbel" w:hAnsi="Corbel" w:cs="Segoe UI"/>
                <w:szCs w:val="24"/>
              </w:rPr>
            </w:pPr>
          </w:p>
          <w:p w:rsidR="00CB2F73" w:rsidRDefault="00CB2F73" w:rsidP="00590190">
            <w:pPr>
              <w:rPr>
                <w:rFonts w:ascii="Corbel" w:hAnsi="Corbel" w:cs="Segoe UI"/>
                <w:szCs w:val="24"/>
              </w:rPr>
            </w:pPr>
            <w:r>
              <w:rPr>
                <w:rFonts w:ascii="Corbel" w:hAnsi="Corbel" w:cs="Segoe UI"/>
                <w:szCs w:val="24"/>
              </w:rPr>
              <w:t xml:space="preserve">Images for the Cure of the blind man (Bartimaeus) at </w:t>
            </w:r>
            <w:hyperlink r:id="rId7" w:history="1">
              <w:r w:rsidRPr="004E57BD">
                <w:rPr>
                  <w:rStyle w:val="Hyperlink"/>
                  <w:rFonts w:ascii="Corbel" w:hAnsi="Corbel" w:cs="Segoe UI"/>
                  <w:szCs w:val="24"/>
                </w:rPr>
                <w:t>https://www.google.com/search?q=cure+of+blind+bartimaeus&amp;tbm=isch&amp;ved=2ahUKEwiu3prKoIXxAhUIXRoKHUikCwoQ2-cCegQIABAA&amp;oq=cure+of+blind+bartimaeus&amp;gs_lcp=CgNpbWcQAzoECAAQGDoCCAA6BggAEAgQHlCq-wlYxsAKYNrHCmgAcAB4AIABXIgB9Q-SAQIyOZgBAKABAaoBC2d3cy13aXotaW1nwAEB&amp;sclient=img&amp;ei=-uy9YK75M4i6acjIrlA&amp;bih=665&amp;biw=1303&amp;rlz=1C1GCEU_enGB866GB866</w:t>
              </w:r>
            </w:hyperlink>
          </w:p>
          <w:p w:rsidR="00CB2F73" w:rsidRDefault="00CB2F73" w:rsidP="00590190">
            <w:pPr>
              <w:rPr>
                <w:rFonts w:ascii="Corbel" w:hAnsi="Corbel" w:cs="Segoe UI"/>
                <w:szCs w:val="24"/>
              </w:rPr>
            </w:pPr>
          </w:p>
          <w:p w:rsidR="00CB2F73" w:rsidRDefault="00CB2F73" w:rsidP="00590190">
            <w:pPr>
              <w:rPr>
                <w:rFonts w:ascii="Corbel" w:hAnsi="Corbel" w:cs="Segoe UI"/>
                <w:szCs w:val="24"/>
              </w:rPr>
            </w:pPr>
            <w:r>
              <w:rPr>
                <w:rFonts w:ascii="Corbel" w:hAnsi="Corbel" w:cs="Segoe UI"/>
                <w:szCs w:val="24"/>
              </w:rPr>
              <w:t xml:space="preserve">The new Teacher Book also includes the miracle at the Wedding at Cana, pp. 126-128. There are numerous You Tube clips on the story at </w:t>
            </w:r>
            <w:hyperlink r:id="rId8" w:history="1">
              <w:r w:rsidRPr="004E57BD">
                <w:rPr>
                  <w:rStyle w:val="Hyperlink"/>
                  <w:rFonts w:ascii="Corbel" w:hAnsi="Corbel" w:cs="Segoe UI"/>
                  <w:szCs w:val="24"/>
                </w:rPr>
                <w:t>https://www.google.com/search?q=the+wedding+at+cana&amp;source=lmns&amp;tbm=vid&amp;bih=665&amp;biw=1303&amp;rlz=1C1GCEU_enGB866GB866&amp;hl=en-US&amp;sa=X&amp;ved=2ahUKEwjB8JbGooXxAhUKfBoKHQeDCGwQ_AUoAnoECAEQAg</w:t>
              </w:r>
            </w:hyperlink>
          </w:p>
          <w:p w:rsidR="00CB2F73" w:rsidRPr="009B7FB9" w:rsidRDefault="00CB2F73" w:rsidP="00590190">
            <w:pPr>
              <w:rPr>
                <w:rFonts w:ascii="Corbel" w:hAnsi="Corbel" w:cs="Segoe UI"/>
                <w:szCs w:val="24"/>
              </w:rPr>
            </w:pPr>
            <w:r>
              <w:rPr>
                <w:rFonts w:ascii="Corbel" w:hAnsi="Corbel" w:cs="Segoe UI"/>
                <w:szCs w:val="24"/>
              </w:rPr>
              <w:t xml:space="preserve">The Kids Wise version is a good one. </w:t>
            </w:r>
          </w:p>
        </w:tc>
      </w:tr>
      <w:tr w:rsidR="00AE7738" w:rsidTr="00590190">
        <w:tc>
          <w:tcPr>
            <w:tcW w:w="1413" w:type="dxa"/>
            <w:tcBorders>
              <w:top w:val="single" w:sz="4" w:space="0" w:color="auto"/>
              <w:left w:val="single" w:sz="4" w:space="0" w:color="auto"/>
              <w:bottom w:val="single" w:sz="4" w:space="0" w:color="auto"/>
              <w:right w:val="single" w:sz="4" w:space="0" w:color="auto"/>
            </w:tcBorders>
          </w:tcPr>
          <w:p w:rsidR="00AE7738" w:rsidRDefault="00AE7738" w:rsidP="00590190">
            <w:pPr>
              <w:spacing w:line="240" w:lineRule="auto"/>
              <w:rPr>
                <w:rFonts w:ascii="Corbel" w:hAnsi="Corbel"/>
              </w:rPr>
            </w:pPr>
          </w:p>
        </w:tc>
        <w:tc>
          <w:tcPr>
            <w:tcW w:w="3303" w:type="dxa"/>
            <w:tcBorders>
              <w:top w:val="single" w:sz="4" w:space="0" w:color="auto"/>
              <w:left w:val="single" w:sz="4" w:space="0" w:color="auto"/>
              <w:bottom w:val="single" w:sz="4" w:space="0" w:color="auto"/>
              <w:right w:val="single" w:sz="4" w:space="0" w:color="auto"/>
            </w:tcBorders>
          </w:tcPr>
          <w:p w:rsidR="00AE7738" w:rsidRPr="00AE7738" w:rsidRDefault="00AE7738" w:rsidP="00590190">
            <w:pPr>
              <w:tabs>
                <w:tab w:val="left" w:pos="3510"/>
              </w:tabs>
              <w:rPr>
                <w:rFonts w:ascii="Corbel" w:hAnsi="Corbel" w:cs="Segoe UI"/>
                <w:b/>
                <w:szCs w:val="24"/>
              </w:rPr>
            </w:pPr>
            <w:r w:rsidRPr="00AE7738">
              <w:rPr>
                <w:rFonts w:ascii="Corbel" w:hAnsi="Corbel" w:cs="Segoe UI"/>
                <w:b/>
                <w:szCs w:val="24"/>
              </w:rPr>
              <w:t>Retell, in simple form, two miracle stories</w:t>
            </w:r>
          </w:p>
        </w:tc>
        <w:tc>
          <w:tcPr>
            <w:tcW w:w="9313" w:type="dxa"/>
            <w:tcBorders>
              <w:top w:val="single" w:sz="4" w:space="0" w:color="auto"/>
              <w:left w:val="single" w:sz="4" w:space="0" w:color="auto"/>
              <w:bottom w:val="single" w:sz="4" w:space="0" w:color="auto"/>
              <w:right w:val="single" w:sz="4" w:space="0" w:color="auto"/>
            </w:tcBorders>
          </w:tcPr>
          <w:p w:rsidR="00AE7738" w:rsidRDefault="00AE7738" w:rsidP="00AE7738">
            <w:pPr>
              <w:ind w:left="-9" w:firstLine="9"/>
              <w:rPr>
                <w:rFonts w:ascii="Corbel" w:hAnsi="Corbel" w:cs="Segoe UI"/>
                <w:szCs w:val="24"/>
              </w:rPr>
            </w:pPr>
            <w:r>
              <w:rPr>
                <w:rFonts w:ascii="Corbel" w:hAnsi="Corbel" w:cs="Segoe UI"/>
                <w:szCs w:val="24"/>
              </w:rPr>
              <w:t xml:space="preserve">Pupils will be able to retell any two stories in simple form. The structure provided in the old PB p. 27, 30 and 31 and in the new PB p. 27, 29, 30 and 31 gives a means for pupils to record a simple retell. </w:t>
            </w:r>
          </w:p>
        </w:tc>
      </w:tr>
      <w:tr w:rsidR="00AE7738" w:rsidTr="00590190">
        <w:tc>
          <w:tcPr>
            <w:tcW w:w="1413" w:type="dxa"/>
            <w:tcBorders>
              <w:top w:val="single" w:sz="4" w:space="0" w:color="auto"/>
              <w:left w:val="single" w:sz="4" w:space="0" w:color="auto"/>
              <w:bottom w:val="single" w:sz="4" w:space="0" w:color="auto"/>
              <w:right w:val="single" w:sz="4" w:space="0" w:color="auto"/>
            </w:tcBorders>
          </w:tcPr>
          <w:p w:rsidR="00AE7738" w:rsidRDefault="00AE7738" w:rsidP="00590190">
            <w:pPr>
              <w:spacing w:line="240" w:lineRule="auto"/>
              <w:rPr>
                <w:rFonts w:ascii="Corbel" w:hAnsi="Corbel"/>
              </w:rPr>
            </w:pPr>
          </w:p>
        </w:tc>
        <w:tc>
          <w:tcPr>
            <w:tcW w:w="3303" w:type="dxa"/>
            <w:tcBorders>
              <w:top w:val="single" w:sz="4" w:space="0" w:color="auto"/>
              <w:left w:val="single" w:sz="4" w:space="0" w:color="auto"/>
              <w:bottom w:val="single" w:sz="4" w:space="0" w:color="auto"/>
              <w:right w:val="single" w:sz="4" w:space="0" w:color="auto"/>
            </w:tcBorders>
          </w:tcPr>
          <w:p w:rsidR="00AE7738" w:rsidRPr="00AE7738" w:rsidRDefault="00AE7738" w:rsidP="00590190">
            <w:pPr>
              <w:tabs>
                <w:tab w:val="left" w:pos="3510"/>
              </w:tabs>
              <w:rPr>
                <w:rFonts w:ascii="Corbel" w:hAnsi="Corbel" w:cs="Segoe UI"/>
                <w:b/>
                <w:szCs w:val="24"/>
              </w:rPr>
            </w:pPr>
            <w:r w:rsidRPr="00AE7738">
              <w:rPr>
                <w:rFonts w:ascii="Corbel" w:hAnsi="Corbel" w:cs="Segoe UI"/>
                <w:b/>
                <w:szCs w:val="24"/>
              </w:rPr>
              <w:t>Say what a miracl</w:t>
            </w:r>
            <w:r>
              <w:rPr>
                <w:rFonts w:ascii="Corbel" w:hAnsi="Corbel" w:cs="Segoe UI"/>
                <w:b/>
                <w:szCs w:val="24"/>
              </w:rPr>
              <w:t>e story tells us about Jesus /</w:t>
            </w:r>
            <w:r w:rsidRPr="00AE7738">
              <w:rPr>
                <w:rFonts w:ascii="Corbel" w:hAnsi="Corbel" w:cs="Segoe UI"/>
                <w:b/>
                <w:szCs w:val="24"/>
              </w:rPr>
              <w:t xml:space="preserve"> God</w:t>
            </w:r>
          </w:p>
        </w:tc>
        <w:tc>
          <w:tcPr>
            <w:tcW w:w="9313" w:type="dxa"/>
            <w:tcBorders>
              <w:top w:val="single" w:sz="4" w:space="0" w:color="auto"/>
              <w:left w:val="single" w:sz="4" w:space="0" w:color="auto"/>
              <w:bottom w:val="single" w:sz="4" w:space="0" w:color="auto"/>
              <w:right w:val="single" w:sz="4" w:space="0" w:color="auto"/>
            </w:tcBorders>
          </w:tcPr>
          <w:p w:rsidR="00AE7738" w:rsidRDefault="004674E3" w:rsidP="00AE7738">
            <w:pPr>
              <w:ind w:left="-9" w:firstLine="9"/>
              <w:rPr>
                <w:rFonts w:ascii="Corbel" w:hAnsi="Corbel" w:cs="Segoe UI"/>
                <w:szCs w:val="24"/>
              </w:rPr>
            </w:pPr>
            <w:r>
              <w:rPr>
                <w:rFonts w:ascii="Corbel" w:hAnsi="Corbel" w:cs="Segoe UI"/>
                <w:szCs w:val="24"/>
              </w:rPr>
              <w:t xml:space="preserve">Pupils will be able to say something about what a miracle tells them about Jesus or God. Teachers will find the various ‘Notes for Teacher’ boxes helpful. These link the miracle to a teaching point that stresses why Jesus performed the miracle, usually showing his power and his love, care and compassion for people. The motive for the miracle can be brought out when talking about the miracle and the feelings of the characters in the miracle story. </w:t>
            </w:r>
          </w:p>
        </w:tc>
      </w:tr>
      <w:tr w:rsidR="004674E3" w:rsidTr="00590190">
        <w:tc>
          <w:tcPr>
            <w:tcW w:w="1413" w:type="dxa"/>
            <w:tcBorders>
              <w:top w:val="single" w:sz="4" w:space="0" w:color="auto"/>
              <w:left w:val="single" w:sz="4" w:space="0" w:color="auto"/>
              <w:bottom w:val="single" w:sz="4" w:space="0" w:color="auto"/>
              <w:right w:val="single" w:sz="4" w:space="0" w:color="auto"/>
            </w:tcBorders>
          </w:tcPr>
          <w:p w:rsidR="004674E3" w:rsidRDefault="004674E3" w:rsidP="00590190">
            <w:pPr>
              <w:spacing w:line="240" w:lineRule="auto"/>
              <w:rPr>
                <w:rFonts w:ascii="Corbel" w:hAnsi="Corbel"/>
              </w:rPr>
            </w:pPr>
          </w:p>
        </w:tc>
        <w:tc>
          <w:tcPr>
            <w:tcW w:w="3303" w:type="dxa"/>
            <w:tcBorders>
              <w:top w:val="single" w:sz="4" w:space="0" w:color="auto"/>
              <w:left w:val="single" w:sz="4" w:space="0" w:color="auto"/>
              <w:bottom w:val="single" w:sz="4" w:space="0" w:color="auto"/>
              <w:right w:val="single" w:sz="4" w:space="0" w:color="auto"/>
            </w:tcBorders>
          </w:tcPr>
          <w:p w:rsidR="004674E3" w:rsidRPr="004674E3" w:rsidRDefault="004674E3" w:rsidP="00590190">
            <w:pPr>
              <w:tabs>
                <w:tab w:val="left" w:pos="3510"/>
              </w:tabs>
              <w:rPr>
                <w:rFonts w:ascii="Corbel" w:hAnsi="Corbel" w:cs="Segoe UI"/>
                <w:b/>
                <w:szCs w:val="24"/>
              </w:rPr>
            </w:pPr>
            <w:r w:rsidRPr="004674E3">
              <w:rPr>
                <w:rFonts w:ascii="Corbel" w:hAnsi="Corbel" w:cs="Segoe UI"/>
                <w:b/>
                <w:szCs w:val="24"/>
              </w:rPr>
              <w:t>Give examples how a miracle of Jesus may encourage you to act</w:t>
            </w:r>
          </w:p>
        </w:tc>
        <w:tc>
          <w:tcPr>
            <w:tcW w:w="9313" w:type="dxa"/>
            <w:tcBorders>
              <w:top w:val="single" w:sz="4" w:space="0" w:color="auto"/>
              <w:left w:val="single" w:sz="4" w:space="0" w:color="auto"/>
              <w:bottom w:val="single" w:sz="4" w:space="0" w:color="auto"/>
              <w:right w:val="single" w:sz="4" w:space="0" w:color="auto"/>
            </w:tcBorders>
          </w:tcPr>
          <w:p w:rsidR="004674E3" w:rsidRDefault="004674E3" w:rsidP="00AE7738">
            <w:pPr>
              <w:ind w:left="-9" w:firstLine="9"/>
              <w:rPr>
                <w:rFonts w:ascii="Corbel" w:hAnsi="Corbel" w:cs="Segoe UI"/>
                <w:szCs w:val="24"/>
              </w:rPr>
            </w:pPr>
            <w:r>
              <w:rPr>
                <w:rFonts w:ascii="Corbel" w:hAnsi="Corbel" w:cs="Segoe UI"/>
                <w:szCs w:val="24"/>
              </w:rPr>
              <w:t xml:space="preserve">This expectation links to the learning objective ‘Explore the motives for actions and how compassion motivates many people to act for the good of others’ pp. 81-83 of the old Teacher Book and ‘Begin to understand how compassion motivates many people to act for the good of others. Reflect on how we help one another’ pp. 116-119 of the new Teacher Book. Pupils will be expected to say how they </w:t>
            </w:r>
            <w:r>
              <w:rPr>
                <w:rFonts w:ascii="Corbel" w:hAnsi="Corbel" w:cs="Segoe UI"/>
                <w:szCs w:val="24"/>
              </w:rPr>
              <w:lastRenderedPageBreak/>
              <w:t>coul</w:t>
            </w:r>
            <w:r w:rsidR="00A24B4E">
              <w:rPr>
                <w:rFonts w:ascii="Corbel" w:hAnsi="Corbel" w:cs="Segoe UI"/>
                <w:szCs w:val="24"/>
              </w:rPr>
              <w:t xml:space="preserve">d help someone in need after engaging in the material and the miracle of the calming of the storm. </w:t>
            </w:r>
            <w:r>
              <w:rPr>
                <w:rFonts w:ascii="Corbel" w:hAnsi="Corbel" w:cs="Segoe UI"/>
                <w:szCs w:val="24"/>
              </w:rPr>
              <w:t xml:space="preserve">  </w:t>
            </w:r>
          </w:p>
        </w:tc>
      </w:tr>
      <w:tr w:rsidR="00A24B4E" w:rsidTr="00590190">
        <w:tc>
          <w:tcPr>
            <w:tcW w:w="1413" w:type="dxa"/>
            <w:tcBorders>
              <w:top w:val="single" w:sz="4" w:space="0" w:color="auto"/>
              <w:left w:val="single" w:sz="4" w:space="0" w:color="auto"/>
              <w:bottom w:val="single" w:sz="4" w:space="0" w:color="auto"/>
              <w:right w:val="single" w:sz="4" w:space="0" w:color="auto"/>
            </w:tcBorders>
          </w:tcPr>
          <w:p w:rsidR="00A24B4E" w:rsidRDefault="00A24B4E" w:rsidP="00590190">
            <w:pPr>
              <w:spacing w:line="240" w:lineRule="auto"/>
              <w:rPr>
                <w:rFonts w:ascii="Corbel" w:hAnsi="Corbel"/>
              </w:rPr>
            </w:pPr>
          </w:p>
        </w:tc>
        <w:tc>
          <w:tcPr>
            <w:tcW w:w="3303" w:type="dxa"/>
            <w:tcBorders>
              <w:top w:val="single" w:sz="4" w:space="0" w:color="auto"/>
              <w:left w:val="single" w:sz="4" w:space="0" w:color="auto"/>
              <w:bottom w:val="single" w:sz="4" w:space="0" w:color="auto"/>
              <w:right w:val="single" w:sz="4" w:space="0" w:color="auto"/>
            </w:tcBorders>
          </w:tcPr>
          <w:p w:rsidR="00A24B4E" w:rsidRPr="00A24B4E" w:rsidRDefault="00A24B4E" w:rsidP="00590190">
            <w:pPr>
              <w:tabs>
                <w:tab w:val="left" w:pos="3510"/>
              </w:tabs>
              <w:rPr>
                <w:rFonts w:ascii="Corbel" w:hAnsi="Corbel" w:cs="Segoe UI"/>
                <w:b/>
                <w:szCs w:val="24"/>
              </w:rPr>
            </w:pPr>
            <w:r w:rsidRPr="00A24B4E">
              <w:rPr>
                <w:rFonts w:ascii="Corbel" w:hAnsi="Corbel" w:cs="Segoe UI"/>
                <w:b/>
                <w:szCs w:val="24"/>
              </w:rPr>
              <w:t>Give an answer to a question like, ‘If anything were possible, what would you do?’ ‘Why?’</w:t>
            </w:r>
          </w:p>
        </w:tc>
        <w:tc>
          <w:tcPr>
            <w:tcW w:w="9313" w:type="dxa"/>
            <w:tcBorders>
              <w:top w:val="single" w:sz="4" w:space="0" w:color="auto"/>
              <w:left w:val="single" w:sz="4" w:space="0" w:color="auto"/>
              <w:bottom w:val="single" w:sz="4" w:space="0" w:color="auto"/>
              <w:right w:val="single" w:sz="4" w:space="0" w:color="auto"/>
            </w:tcBorders>
          </w:tcPr>
          <w:p w:rsidR="00A24B4E" w:rsidRDefault="00A24B4E" w:rsidP="00AE7738">
            <w:pPr>
              <w:ind w:left="-9" w:firstLine="9"/>
              <w:rPr>
                <w:rFonts w:ascii="Corbel" w:hAnsi="Corbel" w:cs="Segoe UI"/>
                <w:szCs w:val="24"/>
              </w:rPr>
            </w:pPr>
            <w:r>
              <w:rPr>
                <w:rFonts w:ascii="Corbel" w:hAnsi="Corbel" w:cs="Segoe UI"/>
                <w:szCs w:val="24"/>
              </w:rPr>
              <w:t xml:space="preserve">In light of learning about the motivation of Jesus to show his love, care and compassion to help people in need, what would pupils do if they had the power to help others? Can pupils say why they would choose to help in the way they said? </w:t>
            </w:r>
            <w:bookmarkStart w:id="0" w:name="_GoBack"/>
            <w:bookmarkEnd w:id="0"/>
          </w:p>
        </w:tc>
      </w:tr>
    </w:tbl>
    <w:p w:rsidR="00BB67C7" w:rsidRDefault="00BB67C7"/>
    <w:sectPr w:rsidR="00BB67C7" w:rsidSect="00590190">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90"/>
    <w:rsid w:val="00447C5B"/>
    <w:rsid w:val="004674E3"/>
    <w:rsid w:val="00590190"/>
    <w:rsid w:val="00A24B4E"/>
    <w:rsid w:val="00AE7738"/>
    <w:rsid w:val="00BB67C7"/>
    <w:rsid w:val="00CB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095A-36D0-451D-8E39-5186106D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90"/>
    <w:pPr>
      <w:spacing w:line="256" w:lineRule="auto"/>
    </w:pPr>
  </w:style>
  <w:style w:type="paragraph" w:styleId="Heading2">
    <w:name w:val="heading 2"/>
    <w:basedOn w:val="Normal"/>
    <w:link w:val="Heading2Char"/>
    <w:uiPriority w:val="9"/>
    <w:qFormat/>
    <w:rsid w:val="005901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1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019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47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1546">
      <w:bodyDiv w:val="1"/>
      <w:marLeft w:val="0"/>
      <w:marRight w:val="0"/>
      <w:marTop w:val="0"/>
      <w:marBottom w:val="0"/>
      <w:divBdr>
        <w:top w:val="none" w:sz="0" w:space="0" w:color="auto"/>
        <w:left w:val="none" w:sz="0" w:space="0" w:color="auto"/>
        <w:bottom w:val="none" w:sz="0" w:space="0" w:color="auto"/>
        <w:right w:val="none" w:sz="0" w:space="0" w:color="auto"/>
      </w:divBdr>
    </w:div>
    <w:div w:id="18940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the+wedding+at+cana&amp;source=lmns&amp;tbm=vid&amp;bih=665&amp;biw=1303&amp;rlz=1C1GCEU_enGB866GB866&amp;hl=en-US&amp;sa=X&amp;ved=2ahUKEwjB8JbGooXxAhUKfBoKHQeDCGwQ_AUoAnoECAEQAg" TargetMode="External"/><Relationship Id="rId3" Type="http://schemas.openxmlformats.org/officeDocument/2006/relationships/webSettings" Target="webSettings.xml"/><Relationship Id="rId7" Type="http://schemas.openxmlformats.org/officeDocument/2006/relationships/hyperlink" Target="https://www.google.com/search?q=cure+of+blind+bartimaeus&amp;tbm=isch&amp;ved=2ahUKEwiu3prKoIXxAhUIXRoKHUikCwoQ2-cCegQIABAA&amp;oq=cure+of+blind+bartimaeus&amp;gs_lcp=CgNpbWcQAzoECAAQGDoCCAA6BggAEAgQHlCq-wlYxsAKYNrHCmgAcAB4AIABXIgB9Q-SAQIyOZgBAKABAaoBC2d3cy13aXotaW1nwAEB&amp;sclient=img&amp;ei=-uy9YK75M4i6acjIrlA&amp;bih=665&amp;biw=1303&amp;rlz=1C1GCEU_enGB866GB8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ure+of+the+paralytic&amp;rlz=1C1GCEU_enGB866GB866&amp;source=lnms&amp;tbm=isch&amp;sa=X&amp;ved=2ahUKEwjWmrDJoIXxAhWWgVwKHdwYBYwQ_AUoAXoECAEQAw&amp;biw=1303&amp;bih=665#imgrc=_0TaAb2flA0N1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dcterms:created xsi:type="dcterms:W3CDTF">2021-06-07T09:35:00Z</dcterms:created>
  <dcterms:modified xsi:type="dcterms:W3CDTF">2021-06-07T10:59:00Z</dcterms:modified>
</cp:coreProperties>
</file>