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38" w:rsidRPr="005F4938" w:rsidRDefault="005F4938" w:rsidP="005F4938">
      <w:pPr>
        <w:spacing w:after="0"/>
        <w:ind w:left="2880"/>
        <w:rPr>
          <w:sz w:val="32"/>
        </w:rPr>
      </w:pPr>
      <w:r w:rsidRPr="00933CAD">
        <w:rPr>
          <w:noProof/>
          <w:color w:val="1F4E79" w:themeColor="accent1" w:themeShade="80"/>
        </w:rPr>
        <w:drawing>
          <wp:anchor distT="0" distB="0" distL="114300" distR="114300" simplePos="0" relativeHeight="251659264" behindDoc="0" locked="0" layoutInCell="1" allowOverlap="1" wp14:anchorId="643DAA78" wp14:editId="2CC19DCE">
            <wp:simplePos x="0" y="0"/>
            <wp:positionH relativeFrom="column">
              <wp:posOffset>-76200</wp:posOffset>
            </wp:positionH>
            <wp:positionV relativeFrom="page">
              <wp:posOffset>442595</wp:posOffset>
            </wp:positionV>
            <wp:extent cx="1028065" cy="147828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065" cy="1478280"/>
                    </a:xfrm>
                    <a:prstGeom prst="rect">
                      <a:avLst/>
                    </a:prstGeom>
                  </pic:spPr>
                </pic:pic>
              </a:graphicData>
            </a:graphic>
            <wp14:sizeRelH relativeFrom="page">
              <wp14:pctWidth>0</wp14:pctWidth>
            </wp14:sizeRelH>
            <wp14:sizeRelV relativeFrom="page">
              <wp14:pctHeight>0</wp14:pctHeight>
            </wp14:sizeRelV>
          </wp:anchor>
        </w:drawing>
      </w:r>
      <w:r>
        <w:rPr>
          <w:rFonts w:eastAsia="Batang" w:cs="Aharoni"/>
          <w:b/>
          <w:color w:val="1F4E79" w:themeColor="accent1" w:themeShade="80"/>
          <w:sz w:val="40"/>
          <w:szCs w:val="40"/>
        </w:rPr>
        <w:t xml:space="preserve">   </w:t>
      </w:r>
      <w:r w:rsidRPr="00933CAD">
        <w:rPr>
          <w:rFonts w:eastAsia="Batang" w:cs="Aharoni"/>
          <w:b/>
          <w:color w:val="1F4E79" w:themeColor="accent1" w:themeShade="80"/>
          <w:sz w:val="40"/>
          <w:szCs w:val="40"/>
        </w:rPr>
        <w:t>Vicariate for Education</w:t>
      </w:r>
    </w:p>
    <w:p w:rsidR="005F4938" w:rsidRDefault="005F4938" w:rsidP="005F4938">
      <w:pPr>
        <w:pStyle w:val="Header"/>
        <w:jc w:val="center"/>
        <w:rPr>
          <w:b/>
          <w:color w:val="1F4E79" w:themeColor="accent1" w:themeShade="80"/>
          <w:sz w:val="40"/>
          <w:szCs w:val="40"/>
        </w:rPr>
      </w:pPr>
      <w:r w:rsidRPr="00B8605D">
        <w:rPr>
          <w:b/>
          <w:color w:val="1F4E79" w:themeColor="accent1" w:themeShade="80"/>
          <w:sz w:val="40"/>
          <w:szCs w:val="40"/>
        </w:rPr>
        <w:t>Diocese of Leeds</w:t>
      </w:r>
    </w:p>
    <w:p w:rsidR="005F4938" w:rsidRDefault="005F4938">
      <w:pPr>
        <w:spacing w:after="0"/>
        <w:ind w:left="75"/>
        <w:jc w:val="center"/>
        <w:rPr>
          <w:sz w:val="32"/>
        </w:rPr>
      </w:pPr>
    </w:p>
    <w:p w:rsidR="000D3F94" w:rsidRPr="00C4779A" w:rsidRDefault="00C4779A" w:rsidP="00C4779A">
      <w:pPr>
        <w:spacing w:after="0"/>
        <w:ind w:left="2160" w:firstLine="720"/>
        <w:rPr>
          <w:rFonts w:ascii="Nirmala UI" w:hAnsi="Nirmala UI" w:cs="Nirmala UI"/>
          <w:sz w:val="24"/>
          <w:szCs w:val="24"/>
        </w:rPr>
      </w:pPr>
      <w:r w:rsidRPr="00C4779A">
        <w:rPr>
          <w:rFonts w:ascii="Nirmala UI" w:hAnsi="Nirmala UI" w:cs="Nirmala UI"/>
          <w:sz w:val="24"/>
          <w:szCs w:val="24"/>
        </w:rPr>
        <w:t>A GOVERNOR AUDIT FOR MONITORING RSE</w:t>
      </w:r>
    </w:p>
    <w:p w:rsidR="00C4779A" w:rsidRPr="00C4779A" w:rsidRDefault="00C4779A" w:rsidP="00C4779A">
      <w:pPr>
        <w:spacing w:after="0"/>
        <w:ind w:left="2160" w:firstLine="720"/>
        <w:rPr>
          <w:rFonts w:ascii="Nirmala UI" w:hAnsi="Nirmala UI" w:cs="Nirmala UI"/>
          <w:sz w:val="24"/>
          <w:szCs w:val="24"/>
        </w:rPr>
      </w:pPr>
    </w:p>
    <w:p w:rsidR="000D3F94" w:rsidRPr="00290264" w:rsidRDefault="00C4779A">
      <w:pPr>
        <w:spacing w:after="0"/>
        <w:rPr>
          <w:rFonts w:ascii="Nirmala UI" w:hAnsi="Nirmala UI" w:cs="Nirmala UI"/>
        </w:rPr>
      </w:pPr>
      <w:r w:rsidRPr="00290264">
        <w:rPr>
          <w:rFonts w:ascii="Nirmala UI" w:hAnsi="Nirmala UI" w:cs="Nirmala UI"/>
        </w:rPr>
        <w:t xml:space="preserve">This checklist is to support the school’s processes of self-evaluation and should be completed in partnership with governors and those responsible for RSE in the school. </w:t>
      </w:r>
    </w:p>
    <w:tbl>
      <w:tblPr>
        <w:tblStyle w:val="TableGrid"/>
        <w:tblW w:w="10059" w:type="dxa"/>
        <w:tblInd w:w="7" w:type="dxa"/>
        <w:tblCellMar>
          <w:top w:w="45" w:type="dxa"/>
          <w:left w:w="108" w:type="dxa"/>
          <w:right w:w="95" w:type="dxa"/>
        </w:tblCellMar>
        <w:tblLook w:val="04A0" w:firstRow="1" w:lastRow="0" w:firstColumn="1" w:lastColumn="0" w:noHBand="0" w:noVBand="1"/>
      </w:tblPr>
      <w:tblGrid>
        <w:gridCol w:w="6467"/>
        <w:gridCol w:w="1119"/>
        <w:gridCol w:w="1126"/>
        <w:gridCol w:w="1347"/>
      </w:tblGrid>
      <w:tr w:rsidR="000D3F94" w:rsidRPr="00C4779A">
        <w:trPr>
          <w:trHeight w:val="570"/>
        </w:trPr>
        <w:tc>
          <w:tcPr>
            <w:tcW w:w="66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3F94" w:rsidRPr="00C4779A" w:rsidRDefault="00C4779A">
            <w:pPr>
              <w:ind w:right="14"/>
              <w:jc w:val="center"/>
              <w:rPr>
                <w:rFonts w:ascii="Nirmala UI" w:hAnsi="Nirmala UI" w:cs="Nirmala UI"/>
                <w:sz w:val="24"/>
                <w:szCs w:val="24"/>
              </w:rPr>
            </w:pPr>
            <w:r w:rsidRPr="00C4779A">
              <w:rPr>
                <w:rFonts w:ascii="Nirmala UI" w:hAnsi="Nirmala UI" w:cs="Nirmala UI"/>
                <w:b/>
                <w:sz w:val="24"/>
                <w:szCs w:val="24"/>
              </w:rPr>
              <w:t xml:space="preserve">Criteria </w:t>
            </w:r>
          </w:p>
        </w:tc>
        <w:tc>
          <w:tcPr>
            <w:tcW w:w="11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3F94" w:rsidRPr="00C4779A" w:rsidRDefault="00C4779A">
            <w:pPr>
              <w:ind w:right="17"/>
              <w:jc w:val="center"/>
              <w:rPr>
                <w:rFonts w:ascii="Nirmala UI" w:hAnsi="Nirmala UI" w:cs="Nirmala UI"/>
                <w:sz w:val="24"/>
                <w:szCs w:val="24"/>
              </w:rPr>
            </w:pPr>
            <w:r w:rsidRPr="00C4779A">
              <w:rPr>
                <w:rFonts w:ascii="Nirmala UI" w:hAnsi="Nirmala UI" w:cs="Nirmala UI"/>
                <w:b/>
                <w:sz w:val="24"/>
                <w:szCs w:val="24"/>
              </w:rPr>
              <w:t xml:space="preserve">Fully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3F94" w:rsidRPr="00C4779A" w:rsidRDefault="00C4779A">
            <w:pPr>
              <w:ind w:right="17"/>
              <w:jc w:val="center"/>
              <w:rPr>
                <w:rFonts w:ascii="Nirmala UI" w:hAnsi="Nirmala UI" w:cs="Nirmala UI"/>
                <w:sz w:val="24"/>
                <w:szCs w:val="24"/>
              </w:rPr>
            </w:pPr>
            <w:r w:rsidRPr="00C4779A">
              <w:rPr>
                <w:rFonts w:ascii="Nirmala UI" w:hAnsi="Nirmala UI" w:cs="Nirmala UI"/>
                <w:b/>
                <w:sz w:val="24"/>
                <w:szCs w:val="24"/>
              </w:rPr>
              <w:t xml:space="preserve">Partly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tcPr>
          <w:p w:rsidR="000D3F94" w:rsidRPr="00C4779A" w:rsidRDefault="00C4779A">
            <w:pPr>
              <w:jc w:val="center"/>
              <w:rPr>
                <w:rFonts w:ascii="Nirmala UI" w:hAnsi="Nirmala UI" w:cs="Nirmala UI"/>
                <w:sz w:val="24"/>
                <w:szCs w:val="24"/>
              </w:rPr>
            </w:pPr>
            <w:r w:rsidRPr="00C4779A">
              <w:rPr>
                <w:rFonts w:ascii="Nirmala UI" w:hAnsi="Nirmala UI" w:cs="Nirmala UI"/>
                <w:b/>
                <w:sz w:val="24"/>
                <w:szCs w:val="24"/>
              </w:rPr>
              <w:t xml:space="preserve">Not Evidenced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school has an up-to-date RSE policy in place. This covers the content and organisation of RSE and how it will be taught and reviewed to ensure that the needs of the children and young people are being met.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policy has been ratified by the full governing body.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spacing w:after="217"/>
              <w:rPr>
                <w:rFonts w:ascii="Nirmala UI" w:hAnsi="Nirmala UI" w:cs="Nirmala UI"/>
              </w:rPr>
            </w:pPr>
            <w:r w:rsidRPr="00290264">
              <w:rPr>
                <w:rFonts w:ascii="Nirmala UI" w:hAnsi="Nirmala UI" w:cs="Nirmala UI"/>
              </w:rPr>
              <w:t xml:space="preserve"> </w:t>
            </w:r>
          </w:p>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policy is in accordance with Catholic teaching and consistent with the Catholic mission and ethos of the school.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policy has been developed and is reviewed regularly in consultation with the whole school community, including staff, governors, parents/carers, pupils and outside agencies.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5"/>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Findings from any review and monitoring processes are written into the school’s development plan.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jc w:val="both"/>
              <w:rPr>
                <w:rFonts w:ascii="Nirmala UI" w:hAnsi="Nirmala UI" w:cs="Nirmala UI"/>
              </w:rPr>
            </w:pPr>
            <w:r w:rsidRPr="00290264">
              <w:rPr>
                <w:rFonts w:ascii="Nirmala UI" w:hAnsi="Nirmala UI" w:cs="Nirmala UI"/>
              </w:rPr>
              <w:t xml:space="preserve">There is a statement included in the school’s prospectus regarding the school’s approach to RSE.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rsidTr="005F4938">
        <w:trPr>
          <w:trHeight w:val="972"/>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Details of the RSE curriculum are published on the school’s web site.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rsidTr="005F4938">
        <w:trPr>
          <w:trHeight w:val="975"/>
        </w:trPr>
        <w:tc>
          <w:tcPr>
            <w:tcW w:w="6659" w:type="dxa"/>
            <w:tcBorders>
              <w:top w:val="single" w:sz="4" w:space="0" w:color="000000"/>
              <w:left w:val="single" w:sz="4" w:space="0" w:color="000000"/>
              <w:bottom w:val="single" w:sz="4" w:space="0" w:color="auto"/>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There is a designated senior member of staff (or team) responsible for RSE in the school with an agreed description of their role and responsibilities in relation to RSE.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rsidTr="005F4938">
        <w:trPr>
          <w:trHeight w:val="974"/>
        </w:trPr>
        <w:tc>
          <w:tcPr>
            <w:tcW w:w="6659" w:type="dxa"/>
            <w:tcBorders>
              <w:top w:val="single" w:sz="4" w:space="0" w:color="auto"/>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There is a designated governor to monitor RSE.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lastRenderedPageBreak/>
              <w:t xml:space="preserve">Governors are aware of how RSE is taught across the school and of the reasons for the choice of resources used.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570"/>
        </w:trPr>
        <w:tc>
          <w:tcPr>
            <w:tcW w:w="66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3F94" w:rsidRPr="00290264" w:rsidRDefault="00C4779A">
            <w:pPr>
              <w:ind w:right="14"/>
              <w:jc w:val="center"/>
              <w:rPr>
                <w:rFonts w:ascii="Nirmala UI" w:hAnsi="Nirmala UI" w:cs="Nirmala UI"/>
              </w:rPr>
            </w:pPr>
            <w:r w:rsidRPr="00290264">
              <w:rPr>
                <w:rFonts w:ascii="Nirmala UI" w:hAnsi="Nirmala UI" w:cs="Nirmala UI"/>
                <w:b/>
              </w:rPr>
              <w:t xml:space="preserve">Criteria </w:t>
            </w:r>
          </w:p>
        </w:tc>
        <w:tc>
          <w:tcPr>
            <w:tcW w:w="11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3F94" w:rsidRPr="00290264" w:rsidRDefault="00C4779A">
            <w:pPr>
              <w:ind w:right="17"/>
              <w:jc w:val="center"/>
              <w:rPr>
                <w:rFonts w:ascii="Nirmala UI" w:hAnsi="Nirmala UI" w:cs="Nirmala UI"/>
              </w:rPr>
            </w:pPr>
            <w:r w:rsidRPr="00290264">
              <w:rPr>
                <w:rFonts w:ascii="Nirmala UI" w:hAnsi="Nirmala UI" w:cs="Nirmala UI"/>
                <w:b/>
              </w:rPr>
              <w:t xml:space="preserve">Fully </w:t>
            </w:r>
          </w:p>
        </w:tc>
        <w:tc>
          <w:tcPr>
            <w:tcW w:w="11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D3F94" w:rsidRPr="00C4779A" w:rsidRDefault="00C4779A">
            <w:pPr>
              <w:ind w:right="17"/>
              <w:jc w:val="center"/>
              <w:rPr>
                <w:rFonts w:ascii="Nirmala UI" w:hAnsi="Nirmala UI" w:cs="Nirmala UI"/>
                <w:sz w:val="24"/>
                <w:szCs w:val="24"/>
              </w:rPr>
            </w:pPr>
            <w:r w:rsidRPr="00C4779A">
              <w:rPr>
                <w:rFonts w:ascii="Nirmala UI" w:hAnsi="Nirmala UI" w:cs="Nirmala UI"/>
                <w:b/>
                <w:sz w:val="24"/>
                <w:szCs w:val="24"/>
              </w:rPr>
              <w:t xml:space="preserve">Partly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tcPr>
          <w:p w:rsidR="000D3F94" w:rsidRPr="00C4779A" w:rsidRDefault="00C4779A">
            <w:pPr>
              <w:jc w:val="center"/>
              <w:rPr>
                <w:rFonts w:ascii="Nirmala UI" w:hAnsi="Nirmala UI" w:cs="Nirmala UI"/>
                <w:sz w:val="24"/>
                <w:szCs w:val="24"/>
              </w:rPr>
            </w:pPr>
            <w:r w:rsidRPr="00C4779A">
              <w:rPr>
                <w:rFonts w:ascii="Nirmala UI" w:hAnsi="Nirmala UI" w:cs="Nirmala UI"/>
                <w:b/>
                <w:sz w:val="24"/>
                <w:szCs w:val="24"/>
              </w:rPr>
              <w:t xml:space="preserve">Not Evidenced </w:t>
            </w:r>
          </w:p>
        </w:tc>
      </w:tr>
      <w:tr w:rsidR="000D3F94" w:rsidRPr="00C4779A">
        <w:trPr>
          <w:trHeight w:val="973"/>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A range of appropriate RSE resources are used to meet the needs of all pupils.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Clear, developmental schemes of work identify the elements of RSE taught across subjects and show how the requirements of RSE within PSHE and the National Curriculum are covered.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jc w:val="both"/>
              <w:rPr>
                <w:rFonts w:ascii="Nirmala UI" w:hAnsi="Nirmala UI" w:cs="Nirmala UI"/>
              </w:rPr>
            </w:pPr>
            <w:r w:rsidRPr="00290264">
              <w:rPr>
                <w:rFonts w:ascii="Nirmala UI" w:hAnsi="Nirmala UI" w:cs="Nirmala UI"/>
              </w:rPr>
              <w:t xml:space="preserve">Parents/carers are regularly made aware of how RSE is taught throughout the school.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5"/>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Parents/carers are provided with opportunities to view resources to be used when appropriate and informed of their right to withdraw their child from RSE lessons.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school is supporting parents who have withdrawn their child to fulfil their responsibility to deliver RSE at home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policy has been disseminated among staff (including support staff and chaplaincy), pupils and parents/carers and included in induction arrangements for new staff, pupils and prospective parents.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2"/>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All staff understand their role in the delivery of RSE.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jc w:val="both"/>
              <w:rPr>
                <w:rFonts w:ascii="Nirmala UI" w:hAnsi="Nirmala UI" w:cs="Nirmala UI"/>
              </w:rPr>
            </w:pPr>
            <w:r w:rsidRPr="00290264">
              <w:rPr>
                <w:rFonts w:ascii="Nirmala UI" w:hAnsi="Nirmala UI" w:cs="Nirmala UI"/>
              </w:rPr>
              <w:t xml:space="preserve">Staff training needs are audited to help determine the programme of CPD for RSE.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974"/>
        </w:trPr>
        <w:tc>
          <w:tcPr>
            <w:tcW w:w="6659" w:type="dxa"/>
            <w:tcBorders>
              <w:top w:val="single" w:sz="4" w:space="0" w:color="000000"/>
              <w:left w:val="single" w:sz="4" w:space="0" w:color="000000"/>
              <w:bottom w:val="single" w:sz="4" w:space="0" w:color="000000"/>
              <w:right w:val="single" w:sz="4" w:space="0" w:color="000000"/>
            </w:tcBorders>
            <w:vAlign w:val="center"/>
          </w:tcPr>
          <w:p w:rsidR="000D3F94" w:rsidRPr="00290264" w:rsidRDefault="00C4779A">
            <w:pPr>
              <w:rPr>
                <w:rFonts w:ascii="Nirmala UI" w:hAnsi="Nirmala UI" w:cs="Nirmala UI"/>
              </w:rPr>
            </w:pPr>
            <w:r w:rsidRPr="00290264">
              <w:rPr>
                <w:rFonts w:ascii="Nirmala UI" w:hAnsi="Nirmala UI" w:cs="Nirmala UI"/>
              </w:rPr>
              <w:t xml:space="preserve">The policy takes into account issues related to equal opportunities.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1133"/>
        </w:trPr>
        <w:tc>
          <w:tcPr>
            <w:tcW w:w="6659"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There is a confidentiality clause in the RSE policy, developed in consultation with parents/carers, young people and governors. The policy supports RSE by setting out clear boundaries for pupils and parents about the sharing of information and how to make the learning environment saf</w:t>
            </w:r>
            <w:bookmarkStart w:id="0" w:name="_GoBack"/>
            <w:bookmarkEnd w:id="0"/>
            <w:r w:rsidRPr="00290264">
              <w:rPr>
                <w:rFonts w:ascii="Nirmala UI" w:hAnsi="Nirmala UI" w:cs="Nirmala UI"/>
              </w:rPr>
              <w:t xml:space="preserve">e. </w:t>
            </w:r>
          </w:p>
        </w:tc>
        <w:tc>
          <w:tcPr>
            <w:tcW w:w="1133" w:type="dxa"/>
            <w:tcBorders>
              <w:top w:val="single" w:sz="4" w:space="0" w:color="000000"/>
              <w:left w:val="single" w:sz="4" w:space="0" w:color="000000"/>
              <w:bottom w:val="single" w:sz="4" w:space="0" w:color="000000"/>
              <w:right w:val="single" w:sz="4" w:space="0" w:color="000000"/>
            </w:tcBorders>
          </w:tcPr>
          <w:p w:rsidR="000D3F94" w:rsidRPr="00290264" w:rsidRDefault="00C4779A">
            <w:pPr>
              <w:rPr>
                <w:rFonts w:ascii="Nirmala UI" w:hAnsi="Nirmala UI" w:cs="Nirmala UI"/>
              </w:rPr>
            </w:pPr>
            <w:r w:rsidRPr="00290264">
              <w:rPr>
                <w:rFonts w:ascii="Nirmala UI" w:hAnsi="Nirmala UI" w:cs="Nirmala U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0D3F94" w:rsidRPr="00C4779A" w:rsidRDefault="00C4779A">
            <w:pPr>
              <w:rPr>
                <w:rFonts w:ascii="Nirmala UI" w:hAnsi="Nirmala UI" w:cs="Nirmala UI"/>
                <w:sz w:val="24"/>
                <w:szCs w:val="24"/>
              </w:rPr>
            </w:pPr>
            <w:r w:rsidRPr="00C4779A">
              <w:rPr>
                <w:rFonts w:ascii="Nirmala UI" w:hAnsi="Nirmala UI" w:cs="Nirmala UI"/>
                <w:sz w:val="24"/>
                <w:szCs w:val="24"/>
              </w:rPr>
              <w:t xml:space="preserve"> </w:t>
            </w:r>
          </w:p>
        </w:tc>
      </w:tr>
      <w:tr w:rsidR="000D3F94" w:rsidRPr="00C4779A">
        <w:trPr>
          <w:trHeight w:val="2998"/>
        </w:trPr>
        <w:tc>
          <w:tcPr>
            <w:tcW w:w="7792" w:type="dxa"/>
            <w:gridSpan w:val="2"/>
            <w:tcBorders>
              <w:top w:val="single" w:sz="4" w:space="0" w:color="000000"/>
              <w:left w:val="single" w:sz="4" w:space="0" w:color="000000"/>
              <w:bottom w:val="single" w:sz="4" w:space="0" w:color="000000"/>
              <w:right w:val="nil"/>
            </w:tcBorders>
          </w:tcPr>
          <w:p w:rsidR="000D3F94" w:rsidRPr="00290264" w:rsidRDefault="00C4779A">
            <w:pPr>
              <w:spacing w:after="217"/>
              <w:rPr>
                <w:rFonts w:ascii="Nirmala UI" w:hAnsi="Nirmala UI" w:cs="Nirmala UI"/>
              </w:rPr>
            </w:pPr>
            <w:r w:rsidRPr="00290264">
              <w:rPr>
                <w:rFonts w:ascii="Nirmala UI" w:hAnsi="Nirmala UI" w:cs="Nirmala UI"/>
                <w:b/>
              </w:rPr>
              <w:lastRenderedPageBreak/>
              <w:t xml:space="preserve">Next steps: </w:t>
            </w:r>
          </w:p>
          <w:p w:rsidR="000D3F94" w:rsidRPr="00290264" w:rsidRDefault="00C4779A">
            <w:pPr>
              <w:spacing w:after="21"/>
              <w:rPr>
                <w:rFonts w:ascii="Nirmala UI" w:hAnsi="Nirmala UI" w:cs="Nirmala UI"/>
              </w:rPr>
            </w:pPr>
            <w:r w:rsidRPr="00290264">
              <w:rPr>
                <w:rFonts w:ascii="Nirmala UI" w:hAnsi="Nirmala UI" w:cs="Nirmala UI"/>
              </w:rPr>
              <w:t xml:space="preserve"> </w:t>
            </w:r>
          </w:p>
          <w:p w:rsidR="000D3F94" w:rsidRPr="00290264" w:rsidRDefault="00C4779A">
            <w:pPr>
              <w:spacing w:after="217"/>
              <w:rPr>
                <w:rFonts w:ascii="Nirmala UI" w:hAnsi="Nirmala UI" w:cs="Nirmala UI"/>
              </w:rPr>
            </w:pPr>
            <w:r w:rsidRPr="00290264">
              <w:rPr>
                <w:rFonts w:ascii="Nirmala UI" w:hAnsi="Nirmala UI" w:cs="Nirmala UI"/>
              </w:rPr>
              <w:t xml:space="preserve"> </w:t>
            </w:r>
          </w:p>
          <w:p w:rsidR="000D3F94" w:rsidRPr="00290264" w:rsidRDefault="00C4779A">
            <w:pPr>
              <w:spacing w:after="217"/>
              <w:rPr>
                <w:rFonts w:ascii="Nirmala UI" w:hAnsi="Nirmala UI" w:cs="Nirmala UI"/>
              </w:rPr>
            </w:pPr>
            <w:r w:rsidRPr="00290264">
              <w:rPr>
                <w:rFonts w:ascii="Nirmala UI" w:hAnsi="Nirmala UI" w:cs="Nirmala UI"/>
              </w:rPr>
              <w:t xml:space="preserve"> </w:t>
            </w:r>
          </w:p>
          <w:p w:rsidR="000D3F94" w:rsidRPr="00290264" w:rsidRDefault="00C4779A">
            <w:pPr>
              <w:spacing w:after="220"/>
              <w:rPr>
                <w:rFonts w:ascii="Nirmala UI" w:hAnsi="Nirmala UI" w:cs="Nirmala UI"/>
              </w:rPr>
            </w:pPr>
            <w:r w:rsidRPr="00290264">
              <w:rPr>
                <w:rFonts w:ascii="Nirmala UI" w:hAnsi="Nirmala UI" w:cs="Nirmala UI"/>
              </w:rPr>
              <w:t xml:space="preserve"> </w:t>
            </w:r>
          </w:p>
          <w:p w:rsidR="000D3F94" w:rsidRPr="00290264" w:rsidRDefault="00C4779A">
            <w:pPr>
              <w:rPr>
                <w:rFonts w:ascii="Nirmala UI" w:hAnsi="Nirmala UI" w:cs="Nirmala UI"/>
              </w:rPr>
            </w:pPr>
            <w:r w:rsidRPr="00290264">
              <w:rPr>
                <w:rFonts w:ascii="Nirmala UI" w:hAnsi="Nirmala UI" w:cs="Nirmala UI"/>
                <w:b/>
              </w:rPr>
              <w:t xml:space="preserve">Completed by:                                                           Date:                                                                </w:t>
            </w:r>
            <w:r w:rsidRPr="00290264">
              <w:rPr>
                <w:rFonts w:ascii="Nirmala UI" w:hAnsi="Nirmala UI" w:cs="Nirmala UI"/>
              </w:rPr>
              <w:t xml:space="preserve"> </w:t>
            </w:r>
          </w:p>
        </w:tc>
        <w:tc>
          <w:tcPr>
            <w:tcW w:w="1136" w:type="dxa"/>
            <w:tcBorders>
              <w:top w:val="single" w:sz="4" w:space="0" w:color="000000"/>
              <w:left w:val="nil"/>
              <w:bottom w:val="single" w:sz="4" w:space="0" w:color="000000"/>
              <w:right w:val="nil"/>
            </w:tcBorders>
          </w:tcPr>
          <w:p w:rsidR="000D3F94" w:rsidRPr="00C4779A" w:rsidRDefault="000D3F94">
            <w:pPr>
              <w:rPr>
                <w:rFonts w:ascii="Nirmala UI" w:hAnsi="Nirmala UI" w:cs="Nirmala UI"/>
                <w:sz w:val="24"/>
                <w:szCs w:val="24"/>
              </w:rPr>
            </w:pPr>
          </w:p>
        </w:tc>
        <w:tc>
          <w:tcPr>
            <w:tcW w:w="1132" w:type="dxa"/>
            <w:tcBorders>
              <w:top w:val="single" w:sz="4" w:space="0" w:color="000000"/>
              <w:left w:val="nil"/>
              <w:bottom w:val="single" w:sz="4" w:space="0" w:color="000000"/>
              <w:right w:val="single" w:sz="4" w:space="0" w:color="000000"/>
            </w:tcBorders>
          </w:tcPr>
          <w:p w:rsidR="000D3F94" w:rsidRPr="00C4779A" w:rsidRDefault="000D3F94">
            <w:pPr>
              <w:rPr>
                <w:rFonts w:ascii="Nirmala UI" w:hAnsi="Nirmala UI" w:cs="Nirmala UI"/>
                <w:sz w:val="24"/>
                <w:szCs w:val="24"/>
              </w:rPr>
            </w:pPr>
          </w:p>
        </w:tc>
      </w:tr>
    </w:tbl>
    <w:p w:rsidR="000D3F94" w:rsidRDefault="00C4779A">
      <w:pPr>
        <w:spacing w:after="0"/>
        <w:jc w:val="both"/>
      </w:pPr>
      <w:r>
        <w:rPr>
          <w:sz w:val="2"/>
        </w:rPr>
        <w:t xml:space="preserve"> </w:t>
      </w:r>
    </w:p>
    <w:sectPr w:rsidR="000D3F94" w:rsidSect="005F4938">
      <w:footerReference w:type="default" r:id="rId7"/>
      <w:pgSz w:w="12240" w:h="15840"/>
      <w:pgMar w:top="851" w:right="1137" w:bottom="1205"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DD" w:rsidRDefault="000B4BDD" w:rsidP="00835187">
      <w:pPr>
        <w:spacing w:after="0" w:line="240" w:lineRule="auto"/>
      </w:pPr>
      <w:r>
        <w:separator/>
      </w:r>
    </w:p>
  </w:endnote>
  <w:endnote w:type="continuationSeparator" w:id="0">
    <w:p w:rsidR="000B4BDD" w:rsidRDefault="000B4BDD" w:rsidP="0083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47136"/>
      <w:docPartObj>
        <w:docPartGallery w:val="Page Numbers (Bottom of Page)"/>
        <w:docPartUnique/>
      </w:docPartObj>
    </w:sdtPr>
    <w:sdtEndPr>
      <w:rPr>
        <w:noProof/>
      </w:rPr>
    </w:sdtEndPr>
    <w:sdtContent>
      <w:p w:rsidR="00835187" w:rsidRDefault="0083518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35187" w:rsidRDefault="0083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DD" w:rsidRDefault="000B4BDD" w:rsidP="00835187">
      <w:pPr>
        <w:spacing w:after="0" w:line="240" w:lineRule="auto"/>
      </w:pPr>
      <w:r>
        <w:separator/>
      </w:r>
    </w:p>
  </w:footnote>
  <w:footnote w:type="continuationSeparator" w:id="0">
    <w:p w:rsidR="000B4BDD" w:rsidRDefault="000B4BDD" w:rsidP="00835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94"/>
    <w:rsid w:val="000B4BDD"/>
    <w:rsid w:val="000D3F94"/>
    <w:rsid w:val="00290264"/>
    <w:rsid w:val="005F4938"/>
    <w:rsid w:val="00835187"/>
    <w:rsid w:val="00C4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98C27-AEA9-44CF-B836-5927D62F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F4938"/>
    <w:pPr>
      <w:tabs>
        <w:tab w:val="center" w:pos="4513"/>
        <w:tab w:val="right" w:pos="9026"/>
      </w:tabs>
      <w:spacing w:after="0" w:line="240" w:lineRule="auto"/>
      <w:ind w:left="10" w:right="2" w:hanging="10"/>
    </w:pPr>
  </w:style>
  <w:style w:type="character" w:customStyle="1" w:styleId="HeaderChar">
    <w:name w:val="Header Char"/>
    <w:basedOn w:val="DefaultParagraphFont"/>
    <w:link w:val="Header"/>
    <w:uiPriority w:val="99"/>
    <w:rsid w:val="005F4938"/>
    <w:rPr>
      <w:rFonts w:ascii="Calibri" w:eastAsia="Calibri" w:hAnsi="Calibri" w:cs="Calibri"/>
      <w:color w:val="000000"/>
    </w:rPr>
  </w:style>
  <w:style w:type="paragraph" w:styleId="Footer">
    <w:name w:val="footer"/>
    <w:basedOn w:val="Normal"/>
    <w:link w:val="FooterChar"/>
    <w:uiPriority w:val="99"/>
    <w:unhideWhenUsed/>
    <w:rsid w:val="0083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Chris Devanny</cp:lastModifiedBy>
  <cp:revision>5</cp:revision>
  <dcterms:created xsi:type="dcterms:W3CDTF">2016-11-08T12:47:00Z</dcterms:created>
  <dcterms:modified xsi:type="dcterms:W3CDTF">2016-11-08T13:36:00Z</dcterms:modified>
</cp:coreProperties>
</file>